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671A" w14:textId="77777777" w:rsidR="001150BA" w:rsidRDefault="00AF57C0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14:paraId="06F819A7" w14:textId="77777777" w:rsidR="001150BA" w:rsidRDefault="00AF57C0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14:paraId="76FCE0E6" w14:textId="77777777" w:rsidR="001150BA" w:rsidRDefault="00AF57C0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14:paraId="5E4CD176" w14:textId="77777777" w:rsidR="001150BA" w:rsidRDefault="001150BA">
      <w:pPr>
        <w:spacing w:line="276" w:lineRule="auto"/>
        <w:ind w:right="-142"/>
        <w:jc w:val="center"/>
        <w:rPr>
          <w:sz w:val="26"/>
          <w:szCs w:val="26"/>
        </w:rPr>
      </w:pPr>
    </w:p>
    <w:p w14:paraId="440C8A16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14:paraId="301A4F40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14:paraId="7C5F1B3E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</w:p>
    <w:p w14:paraId="67A52749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14:paraId="45E10ED6" w14:textId="77777777" w:rsidR="001150BA" w:rsidRDefault="00AF57C0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8" w:tooltip="https://admhmao.ru/dokumenty/pravovye-akty-gubernatora/postanovleniya/10877131/" w:history="1">
        <w:r>
          <w:rPr>
            <w:rStyle w:val="af5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14:paraId="6602F01F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14:paraId="19C2C0F0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14:paraId="5F706B56" w14:textId="77777777" w:rsidR="001150BA" w:rsidRDefault="00AF57C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14:paraId="76D2AC43" w14:textId="77777777" w:rsidR="001150BA" w:rsidRDefault="00AF57C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14:paraId="0B27875F" w14:textId="77777777" w:rsidR="001150BA" w:rsidRDefault="00AF57C0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14:paraId="0680F2E6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14:paraId="1BF31B8D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14:paraId="5874BA53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14:paraId="111CF4A5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9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0" w:tooltip="https://rst.admhmao.ru/dokumenty/" w:history="1">
        <w:r>
          <w:rPr>
            <w:rStyle w:val="af5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</w:p>
    <w:p w14:paraId="1EE22666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 xml:space="preserve">установлена программа для </w:t>
      </w:r>
      <w:r>
        <w:rPr>
          <w:rFonts w:eastAsia="Arial Unicode MS"/>
          <w:color w:val="000000" w:themeColor="text1"/>
          <w:sz w:val="26"/>
          <w:szCs w:val="26"/>
        </w:rPr>
        <w:lastRenderedPageBreak/>
        <w:t>расчета платежа за услугу «Обращение с ТКО» (</w:t>
      </w:r>
      <w:hyperlink r:id="rId11" w:tooltip="https://www.yugra-ecology.ru/calculator" w:history="1">
        <w:r>
          <w:rPr>
            <w:rStyle w:val="af5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14:paraId="64E7E354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6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14:paraId="2F090A46" w14:textId="77777777"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f5"/>
            <w:color w:val="000000" w:themeColor="text1"/>
            <w:sz w:val="26"/>
            <w:szCs w:val="26"/>
          </w:rPr>
          <w:t>https://jsn.admhmao.ru/.</w:t>
        </w:r>
      </w:hyperlink>
    </w:p>
    <w:p w14:paraId="08DBE378" w14:textId="77777777" w:rsidR="001150BA" w:rsidRDefault="00AF57C0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tooltip="https://ds.admhmao.ru/" w:history="1">
        <w:r>
          <w:rPr>
            <w:rStyle w:val="af5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14:paraId="76B2235E" w14:textId="77777777" w:rsidR="001150BA" w:rsidRDefault="00AF57C0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5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>
          <w:rPr>
            <w:rStyle w:val="af5"/>
            <w:sz w:val="26"/>
            <w:szCs w:val="26"/>
          </w:rPr>
          <w:t>https://depprom.admhmao.ru/</w:t>
        </w:r>
      </w:hyperlink>
      <w:r>
        <w:rPr>
          <w:rStyle w:val="af5"/>
          <w:color w:val="000000" w:themeColor="text1"/>
          <w:sz w:val="26"/>
          <w:szCs w:val="26"/>
        </w:rPr>
        <w:t>.</w:t>
      </w:r>
    </w:p>
    <w:p w14:paraId="2B03D6DE" w14:textId="77777777" w:rsidR="001150BA" w:rsidRDefault="001150BA" w:rsidP="00D8648A">
      <w:pPr>
        <w:pStyle w:val="af9"/>
        <w:jc w:val="right"/>
      </w:pPr>
    </w:p>
    <w:sectPr w:rsidR="001150BA">
      <w:headerReference w:type="first" r:id="rId16"/>
      <w:footerReference w:type="first" r:id="rId17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7CD7" w14:textId="77777777" w:rsidR="00D34F8B" w:rsidRDefault="00D34F8B">
      <w:r>
        <w:separator/>
      </w:r>
    </w:p>
  </w:endnote>
  <w:endnote w:type="continuationSeparator" w:id="0">
    <w:p w14:paraId="599C7822" w14:textId="77777777" w:rsidR="00D34F8B" w:rsidRDefault="00D3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20F2" w14:textId="77777777" w:rsidR="001150BA" w:rsidRDefault="001150BA">
    <w:pPr>
      <w:pStyle w:val="afc"/>
      <w:jc w:val="center"/>
    </w:pPr>
  </w:p>
  <w:p w14:paraId="1C74A4A8" w14:textId="77777777" w:rsidR="001150BA" w:rsidRDefault="001150B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89A9" w14:textId="77777777" w:rsidR="00D34F8B" w:rsidRDefault="00D34F8B">
      <w:r>
        <w:separator/>
      </w:r>
    </w:p>
  </w:footnote>
  <w:footnote w:type="continuationSeparator" w:id="0">
    <w:p w14:paraId="4763DFCE" w14:textId="77777777" w:rsidR="00D34F8B" w:rsidRDefault="00D3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2577" w14:textId="77777777" w:rsidR="001150BA" w:rsidRDefault="001150BA">
    <w:pPr>
      <w:pStyle w:val="afa"/>
      <w:jc w:val="center"/>
    </w:pPr>
  </w:p>
  <w:p w14:paraId="09061D60" w14:textId="77777777" w:rsidR="001150BA" w:rsidRDefault="001150B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0D1"/>
    <w:multiLevelType w:val="hybridMultilevel"/>
    <w:tmpl w:val="A5CAD6AC"/>
    <w:lvl w:ilvl="0" w:tplc="46C6881A">
      <w:start w:val="1"/>
      <w:numFmt w:val="decimal"/>
      <w:lvlText w:val="%1."/>
      <w:lvlJc w:val="left"/>
      <w:pPr>
        <w:ind w:left="720" w:hanging="360"/>
      </w:pPr>
    </w:lvl>
    <w:lvl w:ilvl="1" w:tplc="BA8E7BA0">
      <w:start w:val="1"/>
      <w:numFmt w:val="lowerLetter"/>
      <w:lvlText w:val="%2."/>
      <w:lvlJc w:val="left"/>
      <w:pPr>
        <w:ind w:left="1440" w:hanging="360"/>
      </w:pPr>
    </w:lvl>
    <w:lvl w:ilvl="2" w:tplc="0B78584C">
      <w:start w:val="1"/>
      <w:numFmt w:val="lowerRoman"/>
      <w:lvlText w:val="%3."/>
      <w:lvlJc w:val="right"/>
      <w:pPr>
        <w:ind w:left="2160" w:hanging="180"/>
      </w:pPr>
    </w:lvl>
    <w:lvl w:ilvl="3" w:tplc="F452897A">
      <w:start w:val="1"/>
      <w:numFmt w:val="decimal"/>
      <w:lvlText w:val="%4."/>
      <w:lvlJc w:val="left"/>
      <w:pPr>
        <w:ind w:left="2880" w:hanging="360"/>
      </w:pPr>
    </w:lvl>
    <w:lvl w:ilvl="4" w:tplc="B1DE022C">
      <w:start w:val="1"/>
      <w:numFmt w:val="lowerLetter"/>
      <w:lvlText w:val="%5."/>
      <w:lvlJc w:val="left"/>
      <w:pPr>
        <w:ind w:left="3600" w:hanging="360"/>
      </w:pPr>
    </w:lvl>
    <w:lvl w:ilvl="5" w:tplc="93CEDA62">
      <w:start w:val="1"/>
      <w:numFmt w:val="lowerRoman"/>
      <w:lvlText w:val="%6."/>
      <w:lvlJc w:val="right"/>
      <w:pPr>
        <w:ind w:left="4320" w:hanging="180"/>
      </w:pPr>
    </w:lvl>
    <w:lvl w:ilvl="6" w:tplc="8A6845B6">
      <w:start w:val="1"/>
      <w:numFmt w:val="decimal"/>
      <w:lvlText w:val="%7."/>
      <w:lvlJc w:val="left"/>
      <w:pPr>
        <w:ind w:left="5040" w:hanging="360"/>
      </w:pPr>
    </w:lvl>
    <w:lvl w:ilvl="7" w:tplc="E93AF7DA">
      <w:start w:val="1"/>
      <w:numFmt w:val="lowerLetter"/>
      <w:lvlText w:val="%8."/>
      <w:lvlJc w:val="left"/>
      <w:pPr>
        <w:ind w:left="5760" w:hanging="360"/>
      </w:pPr>
    </w:lvl>
    <w:lvl w:ilvl="8" w:tplc="FD9E2E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78D3"/>
    <w:multiLevelType w:val="hybridMultilevel"/>
    <w:tmpl w:val="1DE41B5C"/>
    <w:lvl w:ilvl="0" w:tplc="19149BF0">
      <w:start w:val="1"/>
      <w:numFmt w:val="decimal"/>
      <w:lvlText w:val="%1."/>
      <w:lvlJc w:val="left"/>
      <w:pPr>
        <w:ind w:left="1428" w:hanging="360"/>
      </w:pPr>
    </w:lvl>
    <w:lvl w:ilvl="1" w:tplc="B440A368">
      <w:start w:val="1"/>
      <w:numFmt w:val="lowerLetter"/>
      <w:lvlText w:val="%2."/>
      <w:lvlJc w:val="left"/>
      <w:pPr>
        <w:ind w:left="2148" w:hanging="360"/>
      </w:pPr>
    </w:lvl>
    <w:lvl w:ilvl="2" w:tplc="7EFAC0D6">
      <w:start w:val="1"/>
      <w:numFmt w:val="lowerRoman"/>
      <w:lvlText w:val="%3."/>
      <w:lvlJc w:val="right"/>
      <w:pPr>
        <w:ind w:left="2868" w:hanging="180"/>
      </w:pPr>
    </w:lvl>
    <w:lvl w:ilvl="3" w:tplc="4356A3FC">
      <w:start w:val="1"/>
      <w:numFmt w:val="decimal"/>
      <w:lvlText w:val="%4."/>
      <w:lvlJc w:val="left"/>
      <w:pPr>
        <w:ind w:left="3588" w:hanging="360"/>
      </w:pPr>
    </w:lvl>
    <w:lvl w:ilvl="4" w:tplc="99E2EF82">
      <w:start w:val="1"/>
      <w:numFmt w:val="lowerLetter"/>
      <w:lvlText w:val="%5."/>
      <w:lvlJc w:val="left"/>
      <w:pPr>
        <w:ind w:left="4308" w:hanging="360"/>
      </w:pPr>
    </w:lvl>
    <w:lvl w:ilvl="5" w:tplc="D0FE1BE8">
      <w:start w:val="1"/>
      <w:numFmt w:val="lowerRoman"/>
      <w:lvlText w:val="%6."/>
      <w:lvlJc w:val="right"/>
      <w:pPr>
        <w:ind w:left="5028" w:hanging="180"/>
      </w:pPr>
    </w:lvl>
    <w:lvl w:ilvl="6" w:tplc="01825A6C">
      <w:start w:val="1"/>
      <w:numFmt w:val="decimal"/>
      <w:lvlText w:val="%7."/>
      <w:lvlJc w:val="left"/>
      <w:pPr>
        <w:ind w:left="5748" w:hanging="360"/>
      </w:pPr>
    </w:lvl>
    <w:lvl w:ilvl="7" w:tplc="623026B8">
      <w:start w:val="1"/>
      <w:numFmt w:val="lowerLetter"/>
      <w:lvlText w:val="%8."/>
      <w:lvlJc w:val="left"/>
      <w:pPr>
        <w:ind w:left="6468" w:hanging="360"/>
      </w:pPr>
    </w:lvl>
    <w:lvl w:ilvl="8" w:tplc="B854242A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92B69"/>
    <w:multiLevelType w:val="multilevel"/>
    <w:tmpl w:val="4C3CF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3" w15:restartNumberingAfterBreak="0">
    <w:nsid w:val="1B554C41"/>
    <w:multiLevelType w:val="hybridMultilevel"/>
    <w:tmpl w:val="5C44040E"/>
    <w:lvl w:ilvl="0" w:tplc="FF8A13AC">
      <w:start w:val="1"/>
      <w:numFmt w:val="decimal"/>
      <w:lvlText w:val="%1."/>
      <w:lvlJc w:val="left"/>
      <w:pPr>
        <w:ind w:left="720" w:hanging="360"/>
      </w:pPr>
    </w:lvl>
    <w:lvl w:ilvl="1" w:tplc="3170EF0A">
      <w:start w:val="1"/>
      <w:numFmt w:val="lowerLetter"/>
      <w:lvlText w:val="%2."/>
      <w:lvlJc w:val="left"/>
      <w:pPr>
        <w:ind w:left="1440" w:hanging="360"/>
      </w:pPr>
    </w:lvl>
    <w:lvl w:ilvl="2" w:tplc="FDD68A0A">
      <w:start w:val="1"/>
      <w:numFmt w:val="lowerRoman"/>
      <w:lvlText w:val="%3."/>
      <w:lvlJc w:val="right"/>
      <w:pPr>
        <w:ind w:left="2160" w:hanging="180"/>
      </w:pPr>
    </w:lvl>
    <w:lvl w:ilvl="3" w:tplc="0A966820">
      <w:start w:val="1"/>
      <w:numFmt w:val="decimal"/>
      <w:lvlText w:val="%4."/>
      <w:lvlJc w:val="left"/>
      <w:pPr>
        <w:ind w:left="2880" w:hanging="360"/>
      </w:pPr>
    </w:lvl>
    <w:lvl w:ilvl="4" w:tplc="F9AA89D6">
      <w:start w:val="1"/>
      <w:numFmt w:val="lowerLetter"/>
      <w:lvlText w:val="%5."/>
      <w:lvlJc w:val="left"/>
      <w:pPr>
        <w:ind w:left="3600" w:hanging="360"/>
      </w:pPr>
    </w:lvl>
    <w:lvl w:ilvl="5" w:tplc="77045FB4">
      <w:start w:val="1"/>
      <w:numFmt w:val="lowerRoman"/>
      <w:lvlText w:val="%6."/>
      <w:lvlJc w:val="right"/>
      <w:pPr>
        <w:ind w:left="4320" w:hanging="180"/>
      </w:pPr>
    </w:lvl>
    <w:lvl w:ilvl="6" w:tplc="F9248536">
      <w:start w:val="1"/>
      <w:numFmt w:val="decimal"/>
      <w:lvlText w:val="%7."/>
      <w:lvlJc w:val="left"/>
      <w:pPr>
        <w:ind w:left="5040" w:hanging="360"/>
      </w:pPr>
    </w:lvl>
    <w:lvl w:ilvl="7" w:tplc="EF9CCA4C">
      <w:start w:val="1"/>
      <w:numFmt w:val="lowerLetter"/>
      <w:lvlText w:val="%8."/>
      <w:lvlJc w:val="left"/>
      <w:pPr>
        <w:ind w:left="5760" w:hanging="360"/>
      </w:pPr>
    </w:lvl>
    <w:lvl w:ilvl="8" w:tplc="6DB415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87A"/>
    <w:multiLevelType w:val="hybridMultilevel"/>
    <w:tmpl w:val="64464164"/>
    <w:lvl w:ilvl="0" w:tplc="1EBC5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9A62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4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E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0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21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49D1"/>
    <w:multiLevelType w:val="hybridMultilevel"/>
    <w:tmpl w:val="592C4566"/>
    <w:lvl w:ilvl="0" w:tplc="AD7A9B10">
      <w:start w:val="1"/>
      <w:numFmt w:val="decimal"/>
      <w:lvlText w:val="%1."/>
      <w:lvlJc w:val="left"/>
      <w:pPr>
        <w:ind w:left="1260" w:hanging="360"/>
      </w:pPr>
    </w:lvl>
    <w:lvl w:ilvl="1" w:tplc="624427F8">
      <w:start w:val="1"/>
      <w:numFmt w:val="lowerLetter"/>
      <w:lvlText w:val="%2."/>
      <w:lvlJc w:val="left"/>
      <w:pPr>
        <w:ind w:left="1980" w:hanging="360"/>
      </w:pPr>
    </w:lvl>
    <w:lvl w:ilvl="2" w:tplc="B768A33A">
      <w:start w:val="1"/>
      <w:numFmt w:val="lowerRoman"/>
      <w:lvlText w:val="%3."/>
      <w:lvlJc w:val="right"/>
      <w:pPr>
        <w:ind w:left="2700" w:hanging="180"/>
      </w:pPr>
    </w:lvl>
    <w:lvl w:ilvl="3" w:tplc="57F00590">
      <w:start w:val="1"/>
      <w:numFmt w:val="decimal"/>
      <w:lvlText w:val="%4."/>
      <w:lvlJc w:val="left"/>
      <w:pPr>
        <w:ind w:left="3420" w:hanging="360"/>
      </w:pPr>
    </w:lvl>
    <w:lvl w:ilvl="4" w:tplc="C972A498">
      <w:start w:val="1"/>
      <w:numFmt w:val="lowerLetter"/>
      <w:lvlText w:val="%5."/>
      <w:lvlJc w:val="left"/>
      <w:pPr>
        <w:ind w:left="4140" w:hanging="360"/>
      </w:pPr>
    </w:lvl>
    <w:lvl w:ilvl="5" w:tplc="F3AA6FFA">
      <w:start w:val="1"/>
      <w:numFmt w:val="lowerRoman"/>
      <w:lvlText w:val="%6."/>
      <w:lvlJc w:val="right"/>
      <w:pPr>
        <w:ind w:left="4860" w:hanging="180"/>
      </w:pPr>
    </w:lvl>
    <w:lvl w:ilvl="6" w:tplc="2AD223A2">
      <w:start w:val="1"/>
      <w:numFmt w:val="decimal"/>
      <w:lvlText w:val="%7."/>
      <w:lvlJc w:val="left"/>
      <w:pPr>
        <w:ind w:left="5580" w:hanging="360"/>
      </w:pPr>
    </w:lvl>
    <w:lvl w:ilvl="7" w:tplc="8230D54A">
      <w:start w:val="1"/>
      <w:numFmt w:val="lowerLetter"/>
      <w:lvlText w:val="%8."/>
      <w:lvlJc w:val="left"/>
      <w:pPr>
        <w:ind w:left="6300" w:hanging="360"/>
      </w:pPr>
    </w:lvl>
    <w:lvl w:ilvl="8" w:tplc="00F61D4E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1BB7D6B"/>
    <w:multiLevelType w:val="hybridMultilevel"/>
    <w:tmpl w:val="864EF652"/>
    <w:lvl w:ilvl="0" w:tplc="2DF2E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CF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3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43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B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1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E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7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43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05E80"/>
    <w:multiLevelType w:val="hybridMultilevel"/>
    <w:tmpl w:val="4B7E87D6"/>
    <w:lvl w:ilvl="0" w:tplc="86CE2CE6">
      <w:start w:val="1"/>
      <w:numFmt w:val="decimal"/>
      <w:lvlText w:val="%1."/>
      <w:lvlJc w:val="left"/>
      <w:pPr>
        <w:ind w:left="360" w:hanging="360"/>
      </w:pPr>
    </w:lvl>
    <w:lvl w:ilvl="1" w:tplc="F7147286">
      <w:start w:val="1"/>
      <w:numFmt w:val="lowerLetter"/>
      <w:lvlText w:val="%2."/>
      <w:lvlJc w:val="left"/>
      <w:pPr>
        <w:ind w:left="1080" w:hanging="360"/>
      </w:pPr>
    </w:lvl>
    <w:lvl w:ilvl="2" w:tplc="108E84AA">
      <w:start w:val="1"/>
      <w:numFmt w:val="lowerRoman"/>
      <w:lvlText w:val="%3."/>
      <w:lvlJc w:val="right"/>
      <w:pPr>
        <w:ind w:left="1800" w:hanging="180"/>
      </w:pPr>
    </w:lvl>
    <w:lvl w:ilvl="3" w:tplc="E5C2FA2C">
      <w:start w:val="1"/>
      <w:numFmt w:val="decimal"/>
      <w:lvlText w:val="%4."/>
      <w:lvlJc w:val="left"/>
      <w:pPr>
        <w:ind w:left="2520" w:hanging="360"/>
      </w:pPr>
    </w:lvl>
    <w:lvl w:ilvl="4" w:tplc="0F4ADB22">
      <w:start w:val="1"/>
      <w:numFmt w:val="lowerLetter"/>
      <w:lvlText w:val="%5."/>
      <w:lvlJc w:val="left"/>
      <w:pPr>
        <w:ind w:left="3240" w:hanging="360"/>
      </w:pPr>
    </w:lvl>
    <w:lvl w:ilvl="5" w:tplc="385EB632">
      <w:start w:val="1"/>
      <w:numFmt w:val="lowerRoman"/>
      <w:lvlText w:val="%6."/>
      <w:lvlJc w:val="right"/>
      <w:pPr>
        <w:ind w:left="3960" w:hanging="180"/>
      </w:pPr>
    </w:lvl>
    <w:lvl w:ilvl="6" w:tplc="1966B2F2">
      <w:start w:val="1"/>
      <w:numFmt w:val="decimal"/>
      <w:lvlText w:val="%7."/>
      <w:lvlJc w:val="left"/>
      <w:pPr>
        <w:ind w:left="4680" w:hanging="360"/>
      </w:pPr>
    </w:lvl>
    <w:lvl w:ilvl="7" w:tplc="8C2E39B6">
      <w:start w:val="1"/>
      <w:numFmt w:val="lowerLetter"/>
      <w:lvlText w:val="%8."/>
      <w:lvlJc w:val="left"/>
      <w:pPr>
        <w:ind w:left="5400" w:hanging="360"/>
      </w:pPr>
    </w:lvl>
    <w:lvl w:ilvl="8" w:tplc="6D9ECD8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6D22F8"/>
    <w:multiLevelType w:val="multilevel"/>
    <w:tmpl w:val="CC64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9" w15:restartNumberingAfterBreak="0">
    <w:nsid w:val="76527030"/>
    <w:multiLevelType w:val="hybridMultilevel"/>
    <w:tmpl w:val="756E881A"/>
    <w:lvl w:ilvl="0" w:tplc="D786C6CC">
      <w:start w:val="1"/>
      <w:numFmt w:val="decimal"/>
      <w:lvlText w:val="%1."/>
      <w:lvlJc w:val="left"/>
      <w:pPr>
        <w:ind w:left="720" w:hanging="360"/>
      </w:pPr>
    </w:lvl>
    <w:lvl w:ilvl="1" w:tplc="1C60F738">
      <w:start w:val="1"/>
      <w:numFmt w:val="lowerLetter"/>
      <w:lvlText w:val="%2."/>
      <w:lvlJc w:val="left"/>
      <w:pPr>
        <w:ind w:left="1440" w:hanging="360"/>
      </w:pPr>
    </w:lvl>
    <w:lvl w:ilvl="2" w:tplc="E6920C80">
      <w:start w:val="1"/>
      <w:numFmt w:val="lowerRoman"/>
      <w:lvlText w:val="%3."/>
      <w:lvlJc w:val="right"/>
      <w:pPr>
        <w:ind w:left="2160" w:hanging="180"/>
      </w:pPr>
    </w:lvl>
    <w:lvl w:ilvl="3" w:tplc="CFDEEF14">
      <w:start w:val="1"/>
      <w:numFmt w:val="decimal"/>
      <w:lvlText w:val="%4."/>
      <w:lvlJc w:val="left"/>
      <w:pPr>
        <w:ind w:left="2880" w:hanging="360"/>
      </w:pPr>
    </w:lvl>
    <w:lvl w:ilvl="4" w:tplc="7F2647BC">
      <w:start w:val="1"/>
      <w:numFmt w:val="lowerLetter"/>
      <w:lvlText w:val="%5."/>
      <w:lvlJc w:val="left"/>
      <w:pPr>
        <w:ind w:left="3600" w:hanging="360"/>
      </w:pPr>
    </w:lvl>
    <w:lvl w:ilvl="5" w:tplc="77321D8A">
      <w:start w:val="1"/>
      <w:numFmt w:val="lowerRoman"/>
      <w:lvlText w:val="%6."/>
      <w:lvlJc w:val="right"/>
      <w:pPr>
        <w:ind w:left="4320" w:hanging="180"/>
      </w:pPr>
    </w:lvl>
    <w:lvl w:ilvl="6" w:tplc="A28EBEB8">
      <w:start w:val="1"/>
      <w:numFmt w:val="decimal"/>
      <w:lvlText w:val="%7."/>
      <w:lvlJc w:val="left"/>
      <w:pPr>
        <w:ind w:left="5040" w:hanging="360"/>
      </w:pPr>
    </w:lvl>
    <w:lvl w:ilvl="7" w:tplc="1BD28D4A">
      <w:start w:val="1"/>
      <w:numFmt w:val="lowerLetter"/>
      <w:lvlText w:val="%8."/>
      <w:lvlJc w:val="left"/>
      <w:pPr>
        <w:ind w:left="5760" w:hanging="360"/>
      </w:pPr>
    </w:lvl>
    <w:lvl w:ilvl="8" w:tplc="C6229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A"/>
    <w:rsid w:val="001150BA"/>
    <w:rsid w:val="003352EB"/>
    <w:rsid w:val="00AF57C0"/>
    <w:rsid w:val="00C119A3"/>
    <w:rsid w:val="00D34F8B"/>
    <w:rsid w:val="00D8648A"/>
    <w:rsid w:val="00E77804"/>
    <w:rsid w:val="00EB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0BA6"/>
  <w15:docId w15:val="{51667D7B-2BB6-42BD-AC2B-F1CC845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postanovleniya/10877131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3DB8-EC82-4DCF-8368-42048C2D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Пресс-секретарь</cp:lastModifiedBy>
  <cp:revision>2</cp:revision>
  <dcterms:created xsi:type="dcterms:W3CDTF">2025-02-10T05:08:00Z</dcterms:created>
  <dcterms:modified xsi:type="dcterms:W3CDTF">2025-02-10T05:08:00Z</dcterms:modified>
</cp:coreProperties>
</file>